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14" w:rsidRDefault="00F73ED5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Allocation of PDG/EIG</w:t>
      </w:r>
    </w:p>
    <w:p w:rsidR="00BC7314" w:rsidRDefault="00E113E7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EIG and PDG </w:t>
      </w:r>
      <w:r w:rsidR="00400D62">
        <w:rPr>
          <w:b/>
          <w:sz w:val="36"/>
          <w:szCs w:val="36"/>
          <w:u w:val="single"/>
        </w:rPr>
        <w:t>(2020-2021</w:t>
      </w:r>
      <w:r w:rsidR="00414995">
        <w:rPr>
          <w:b/>
          <w:sz w:val="36"/>
          <w:szCs w:val="36"/>
          <w:u w:val="single"/>
        </w:rPr>
        <w:t xml:space="preserve">) </w:t>
      </w:r>
      <w:r w:rsidR="00400D62">
        <w:rPr>
          <w:b/>
          <w:sz w:val="36"/>
          <w:szCs w:val="36"/>
          <w:u w:val="single"/>
        </w:rPr>
        <w:t>Summer 2020</w:t>
      </w:r>
    </w:p>
    <w:p w:rsidR="00BC7314" w:rsidRDefault="00BC7314">
      <w:pPr>
        <w:spacing w:after="0"/>
        <w:rPr>
          <w:b/>
          <w:sz w:val="28"/>
          <w:szCs w:val="28"/>
          <w:u w:val="single"/>
        </w:rPr>
      </w:pPr>
    </w:p>
    <w:p w:rsidR="00D55FED" w:rsidRDefault="00400D6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Total value of the Education Improvement Grant (</w:t>
      </w:r>
      <w:r w:rsidR="009219CE">
        <w:rPr>
          <w:b/>
          <w:sz w:val="28"/>
          <w:szCs w:val="28"/>
        </w:rPr>
        <w:t>EIG</w:t>
      </w:r>
      <w:r>
        <w:rPr>
          <w:b/>
          <w:sz w:val="28"/>
          <w:szCs w:val="28"/>
        </w:rPr>
        <w:t>)</w:t>
      </w:r>
      <w:r w:rsidR="009219CE">
        <w:rPr>
          <w:b/>
          <w:sz w:val="28"/>
          <w:szCs w:val="28"/>
        </w:rPr>
        <w:t xml:space="preserve">  = </w:t>
      </w:r>
      <w:r>
        <w:rPr>
          <w:b/>
          <w:sz w:val="28"/>
          <w:szCs w:val="28"/>
        </w:rPr>
        <w:t xml:space="preserve">£108 050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00D62">
        <w:rPr>
          <w:sz w:val="28"/>
          <w:szCs w:val="28"/>
        </w:rPr>
        <w:t xml:space="preserve">Last year = </w:t>
      </w:r>
      <w:r w:rsidR="00414995" w:rsidRPr="00400D62">
        <w:rPr>
          <w:sz w:val="28"/>
          <w:szCs w:val="28"/>
        </w:rPr>
        <w:t>£</w:t>
      </w:r>
      <w:r w:rsidR="00D55FED" w:rsidRPr="00400D62">
        <w:rPr>
          <w:sz w:val="28"/>
          <w:szCs w:val="28"/>
        </w:rPr>
        <w:t xml:space="preserve">107 079  </w:t>
      </w:r>
      <w:r w:rsidRPr="00400D62">
        <w:rPr>
          <w:sz w:val="28"/>
          <w:szCs w:val="28"/>
        </w:rPr>
        <w:t xml:space="preserve">Previous </w:t>
      </w:r>
      <w:r w:rsidR="00414995" w:rsidRPr="00400D62">
        <w:rPr>
          <w:sz w:val="28"/>
          <w:szCs w:val="28"/>
        </w:rPr>
        <w:t xml:space="preserve">year = </w:t>
      </w:r>
      <w:r w:rsidR="009219CE" w:rsidRPr="00400D62">
        <w:rPr>
          <w:sz w:val="28"/>
          <w:szCs w:val="28"/>
        </w:rPr>
        <w:t>£</w:t>
      </w:r>
      <w:r w:rsidR="00D55FED" w:rsidRPr="00400D62">
        <w:rPr>
          <w:sz w:val="28"/>
          <w:szCs w:val="28"/>
        </w:rPr>
        <w:t>97 738</w:t>
      </w:r>
      <w:r w:rsidR="00D55FED">
        <w:rPr>
          <w:b/>
          <w:sz w:val="28"/>
          <w:szCs w:val="28"/>
        </w:rPr>
        <w:t xml:space="preserve"> </w:t>
      </w:r>
    </w:p>
    <w:p w:rsidR="00BC7314" w:rsidRDefault="00E113E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Total </w:t>
      </w:r>
      <w:r w:rsidR="00400D62">
        <w:rPr>
          <w:b/>
          <w:sz w:val="28"/>
          <w:szCs w:val="28"/>
        </w:rPr>
        <w:t>value of the Pupil Development Grant (</w:t>
      </w:r>
      <w:r>
        <w:rPr>
          <w:b/>
          <w:sz w:val="28"/>
          <w:szCs w:val="28"/>
        </w:rPr>
        <w:t>PDG</w:t>
      </w:r>
      <w:r w:rsidR="00400D6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= </w:t>
      </w:r>
      <w:r w:rsidR="00400D62">
        <w:rPr>
          <w:b/>
          <w:sz w:val="28"/>
          <w:szCs w:val="28"/>
        </w:rPr>
        <w:t xml:space="preserve">£92 000  </w:t>
      </w:r>
      <w:r w:rsidR="00400D62">
        <w:rPr>
          <w:b/>
          <w:sz w:val="28"/>
          <w:szCs w:val="28"/>
        </w:rPr>
        <w:tab/>
      </w:r>
      <w:r w:rsidR="00400D62">
        <w:rPr>
          <w:b/>
          <w:sz w:val="28"/>
          <w:szCs w:val="28"/>
        </w:rPr>
        <w:tab/>
      </w:r>
      <w:r w:rsidR="00400D62">
        <w:rPr>
          <w:b/>
          <w:sz w:val="28"/>
          <w:szCs w:val="28"/>
        </w:rPr>
        <w:tab/>
      </w:r>
      <w:r w:rsidR="00400D62" w:rsidRPr="00400D62">
        <w:rPr>
          <w:sz w:val="28"/>
          <w:szCs w:val="28"/>
        </w:rPr>
        <w:t xml:space="preserve">Last year = </w:t>
      </w:r>
      <w:r w:rsidR="00D55FED" w:rsidRPr="00400D62">
        <w:rPr>
          <w:sz w:val="28"/>
          <w:szCs w:val="28"/>
        </w:rPr>
        <w:t xml:space="preserve">£104 650  </w:t>
      </w:r>
      <w:r w:rsidR="00400D62" w:rsidRPr="00400D62">
        <w:rPr>
          <w:sz w:val="28"/>
          <w:szCs w:val="28"/>
        </w:rPr>
        <w:t xml:space="preserve">Previous </w:t>
      </w:r>
      <w:r w:rsidR="00414995" w:rsidRPr="00400D62">
        <w:rPr>
          <w:sz w:val="28"/>
          <w:szCs w:val="28"/>
        </w:rPr>
        <w:t xml:space="preserve">year = </w:t>
      </w:r>
      <w:r w:rsidR="00D55FED" w:rsidRPr="00400D62">
        <w:rPr>
          <w:sz w:val="28"/>
          <w:szCs w:val="28"/>
        </w:rPr>
        <w:t>£119 534</w:t>
      </w:r>
    </w:p>
    <w:p w:rsidR="00831C44" w:rsidRDefault="00831C44">
      <w:pPr>
        <w:spacing w:after="0"/>
        <w:rPr>
          <w:b/>
          <w:sz w:val="28"/>
          <w:szCs w:val="28"/>
        </w:rPr>
      </w:pPr>
      <w:r w:rsidRPr="00DF216C">
        <w:rPr>
          <w:i/>
          <w:sz w:val="28"/>
          <w:szCs w:val="28"/>
        </w:rPr>
        <w:t>Our EIG is very slightly up on last year but our PDG is significantly down on last year</w:t>
      </w:r>
      <w:r>
        <w:rPr>
          <w:sz w:val="28"/>
          <w:szCs w:val="28"/>
        </w:rPr>
        <w:t xml:space="preserve">. </w:t>
      </w:r>
    </w:p>
    <w:p w:rsidR="00BC7314" w:rsidRDefault="00BC7314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9758"/>
        <w:gridCol w:w="1985"/>
        <w:gridCol w:w="1984"/>
      </w:tblGrid>
      <w:tr w:rsidR="00BC7314">
        <w:tc>
          <w:tcPr>
            <w:tcW w:w="1265" w:type="dxa"/>
          </w:tcPr>
          <w:p w:rsidR="00BC7314" w:rsidRDefault="00E113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  <w:tc>
          <w:tcPr>
            <w:tcW w:w="9758" w:type="dxa"/>
          </w:tcPr>
          <w:p w:rsidR="00BC7314" w:rsidRDefault="00E113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1985" w:type="dxa"/>
          </w:tcPr>
          <w:p w:rsidR="00BC7314" w:rsidRDefault="00E113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7314" w:rsidRDefault="00E113E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PDG</w:t>
            </w:r>
          </w:p>
        </w:tc>
      </w:tr>
      <w:tr w:rsidR="00BC7314">
        <w:tc>
          <w:tcPr>
            <w:tcW w:w="1265" w:type="dxa"/>
          </w:tcPr>
          <w:p w:rsidR="00651E93" w:rsidRDefault="00651E9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414995" w:rsidP="0041499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Courses and </w:t>
            </w:r>
            <w:r w:rsidRPr="00D55FED">
              <w:rPr>
                <w:b/>
                <w:sz w:val="28"/>
                <w:szCs w:val="28"/>
              </w:rPr>
              <w:t>Junior Apprenticeships (JAs at College)</w:t>
            </w:r>
          </w:p>
          <w:p w:rsidR="00414995" w:rsidRPr="00D35D24" w:rsidRDefault="00414995" w:rsidP="00D55FE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96CF5" w:rsidRPr="00885608" w:rsidRDefault="00296CF5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296CF5">
              <w:rPr>
                <w:sz w:val="24"/>
                <w:szCs w:val="24"/>
              </w:rPr>
              <w:t>We are</w:t>
            </w:r>
            <w:r w:rsidR="004C33D3">
              <w:rPr>
                <w:sz w:val="24"/>
                <w:szCs w:val="24"/>
              </w:rPr>
              <w:t xml:space="preserve"> currently waiting to hear if JA</w:t>
            </w:r>
            <w:r w:rsidRPr="00296CF5">
              <w:rPr>
                <w:sz w:val="24"/>
                <w:szCs w:val="24"/>
              </w:rPr>
              <w:t xml:space="preserve">s are to run in 2020/21. </w:t>
            </w:r>
            <w:r w:rsidRPr="00885608">
              <w:rPr>
                <w:color w:val="FF0000"/>
                <w:sz w:val="24"/>
                <w:szCs w:val="24"/>
              </w:rPr>
              <w:t xml:space="preserve">If they do we have </w:t>
            </w:r>
          </w:p>
          <w:p w:rsidR="0075392D" w:rsidRPr="00C0088B" w:rsidRDefault="00296CF5">
            <w:pPr>
              <w:spacing w:line="276" w:lineRule="auto"/>
              <w:rPr>
                <w:b/>
                <w:color w:val="FF0000"/>
                <w:sz w:val="24"/>
                <w:szCs w:val="24"/>
              </w:rPr>
            </w:pPr>
            <w:r w:rsidRPr="00885608">
              <w:rPr>
                <w:color w:val="FF0000"/>
                <w:sz w:val="24"/>
                <w:szCs w:val="24"/>
              </w:rPr>
              <w:t>£4 256 EIG to put towards this cost</w:t>
            </w:r>
            <w:r w:rsidRPr="00885608">
              <w:rPr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7314" w:rsidRDefault="00BC73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314">
        <w:tc>
          <w:tcPr>
            <w:tcW w:w="1265" w:type="dxa"/>
          </w:tcPr>
          <w:p w:rsidR="00BC7314" w:rsidRDefault="00BC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414995" w:rsidP="0041499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14-19 courses. This includes our </w:t>
            </w:r>
            <w:r w:rsidRPr="00D55FED">
              <w:rPr>
                <w:rFonts w:cs="Arial"/>
                <w:b/>
                <w:sz w:val="28"/>
                <w:szCs w:val="28"/>
              </w:rPr>
              <w:t>hairdressing</w:t>
            </w:r>
            <w:r w:rsidR="00F26BBE">
              <w:rPr>
                <w:rFonts w:cs="Arial"/>
                <w:b/>
                <w:sz w:val="28"/>
                <w:szCs w:val="28"/>
              </w:rPr>
              <w:t>/beauty</w:t>
            </w:r>
            <w:r w:rsidRPr="00D55FED">
              <w:rPr>
                <w:rFonts w:cs="Arial"/>
                <w:b/>
                <w:sz w:val="28"/>
                <w:szCs w:val="28"/>
              </w:rPr>
              <w:t xml:space="preserve"> courses</w:t>
            </w:r>
            <w:r w:rsidRPr="00D55FED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for year 10 and 11 pupils.</w:t>
            </w:r>
          </w:p>
          <w:p w:rsidR="00414995" w:rsidRDefault="00603C1C" w:rsidP="00414995">
            <w:pPr>
              <w:pStyle w:val="ListParagrap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Discussions to take place as to a way forward to fund this course.</w:t>
            </w:r>
          </w:p>
        </w:tc>
        <w:tc>
          <w:tcPr>
            <w:tcW w:w="1985" w:type="dxa"/>
          </w:tcPr>
          <w:p w:rsidR="0075392D" w:rsidRPr="004C33D3" w:rsidRDefault="004C33D3" w:rsidP="00651E93">
            <w:pPr>
              <w:rPr>
                <w:color w:val="FF0000"/>
                <w:sz w:val="24"/>
                <w:szCs w:val="24"/>
              </w:rPr>
            </w:pPr>
            <w:r w:rsidRPr="00885608">
              <w:rPr>
                <w:color w:val="FF0000"/>
                <w:sz w:val="24"/>
                <w:szCs w:val="24"/>
              </w:rPr>
              <w:t>No longer able to fund this from EIG.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7314" w:rsidRDefault="00BC7314">
            <w:pPr>
              <w:rPr>
                <w:sz w:val="28"/>
                <w:szCs w:val="28"/>
              </w:rPr>
            </w:pPr>
          </w:p>
        </w:tc>
      </w:tr>
      <w:tr w:rsidR="00BC7314" w:rsidTr="00414995">
        <w:trPr>
          <w:trHeight w:val="1374"/>
        </w:trPr>
        <w:tc>
          <w:tcPr>
            <w:tcW w:w="1265" w:type="dxa"/>
          </w:tcPr>
          <w:p w:rsidR="00BC7314" w:rsidRDefault="00BC73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414995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Teacher’s salaries to </w:t>
            </w:r>
            <w:r w:rsidR="00603C1C">
              <w:rPr>
                <w:sz w:val="28"/>
                <w:szCs w:val="28"/>
              </w:rPr>
              <w:t xml:space="preserve">continue the higher level of </w:t>
            </w:r>
            <w:r>
              <w:rPr>
                <w:sz w:val="28"/>
                <w:szCs w:val="28"/>
              </w:rPr>
              <w:t xml:space="preserve">staffing in Mathematics and English. </w:t>
            </w:r>
            <w:r w:rsidR="00603C1C">
              <w:rPr>
                <w:sz w:val="28"/>
                <w:szCs w:val="28"/>
              </w:rPr>
              <w:t xml:space="preserve">This has proved very successful with </w:t>
            </w:r>
            <w:r w:rsidR="00D55FED">
              <w:rPr>
                <w:sz w:val="28"/>
                <w:szCs w:val="28"/>
              </w:rPr>
              <w:t>very pleasing</w:t>
            </w:r>
            <w:r w:rsidR="00603C1C">
              <w:rPr>
                <w:sz w:val="28"/>
                <w:szCs w:val="28"/>
              </w:rPr>
              <w:t xml:space="preserve"> results in English and Mathematics </w:t>
            </w:r>
            <w:r w:rsidR="00D55FED">
              <w:rPr>
                <w:sz w:val="28"/>
                <w:szCs w:val="28"/>
              </w:rPr>
              <w:t>in Summer 2019</w:t>
            </w:r>
            <w:r w:rsidR="004C33D3">
              <w:rPr>
                <w:sz w:val="28"/>
                <w:szCs w:val="28"/>
              </w:rPr>
              <w:t>/20</w:t>
            </w:r>
            <w:r w:rsidR="00603C1C">
              <w:rPr>
                <w:sz w:val="28"/>
                <w:szCs w:val="28"/>
              </w:rPr>
              <w:t>. Staffing has a</w:t>
            </w:r>
            <w:r>
              <w:rPr>
                <w:sz w:val="28"/>
                <w:szCs w:val="28"/>
              </w:rPr>
              <w:t>llow</w:t>
            </w:r>
            <w:r w:rsidR="00603C1C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 xml:space="preserve"> for the tea</w:t>
            </w:r>
            <w:r w:rsidR="00603C1C">
              <w:rPr>
                <w:sz w:val="28"/>
                <w:szCs w:val="28"/>
              </w:rPr>
              <w:t>ching of literacy and numeracy, supporting all subject areas.</w:t>
            </w:r>
            <w:r w:rsidR="004C33D3">
              <w:rPr>
                <w:sz w:val="28"/>
                <w:szCs w:val="28"/>
              </w:rPr>
              <w:t xml:space="preserve"> This includes literacy support.</w:t>
            </w:r>
          </w:p>
          <w:p w:rsidR="00414995" w:rsidRDefault="004C33D3" w:rsidP="00414995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Allocated for </w:t>
            </w:r>
            <w:r w:rsidR="00F26BBE">
              <w:rPr>
                <w:sz w:val="28"/>
                <w:szCs w:val="28"/>
              </w:rPr>
              <w:t>x 2 teachers</w:t>
            </w:r>
            <w:r w:rsidR="00D55FED">
              <w:rPr>
                <w:sz w:val="28"/>
                <w:szCs w:val="28"/>
              </w:rPr>
              <w:t xml:space="preserve"> (includes Gross, Super and NI)</w:t>
            </w:r>
          </w:p>
          <w:p w:rsidR="00414995" w:rsidRPr="00414995" w:rsidRDefault="00414995" w:rsidP="00D55FE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14995" w:rsidRPr="00C0088B" w:rsidRDefault="004C33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£98 047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7314" w:rsidRDefault="00BC731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C7314">
        <w:trPr>
          <w:trHeight w:val="1241"/>
        </w:trPr>
        <w:tc>
          <w:tcPr>
            <w:tcW w:w="1265" w:type="dxa"/>
          </w:tcPr>
          <w:p w:rsidR="00BC7314" w:rsidRDefault="00BC7314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414995" w:rsidP="0041499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Literacy support assistant</w:t>
            </w:r>
            <w:r w:rsidR="004C33D3">
              <w:rPr>
                <w:rFonts w:cs="Arial"/>
                <w:sz w:val="28"/>
                <w:szCs w:val="28"/>
              </w:rPr>
              <w:t>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="00C116AA">
              <w:rPr>
                <w:rFonts w:cs="Arial"/>
                <w:sz w:val="28"/>
                <w:szCs w:val="28"/>
              </w:rPr>
              <w:t xml:space="preserve">To allow for small group work and one to one work in English and literacy. </w:t>
            </w:r>
            <w:r w:rsidR="00D55FED">
              <w:rPr>
                <w:rFonts w:cs="Arial"/>
                <w:sz w:val="28"/>
                <w:szCs w:val="28"/>
              </w:rPr>
              <w:t xml:space="preserve"> Includes Gross, Super and NI. </w:t>
            </w:r>
          </w:p>
          <w:p w:rsidR="00C0088B" w:rsidRDefault="00C0088B" w:rsidP="00C0088B">
            <w:pPr>
              <w:pStyle w:val="ListParagraph"/>
              <w:rPr>
                <w:rFonts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088B" w:rsidRPr="00C0088B" w:rsidRDefault="00F549ED" w:rsidP="00D55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£5 747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C7314" w:rsidRDefault="00BC7314">
            <w:pPr>
              <w:rPr>
                <w:sz w:val="28"/>
                <w:szCs w:val="28"/>
              </w:rPr>
            </w:pPr>
          </w:p>
        </w:tc>
      </w:tr>
      <w:tr w:rsidR="00C0088B">
        <w:trPr>
          <w:trHeight w:val="1241"/>
        </w:trPr>
        <w:tc>
          <w:tcPr>
            <w:tcW w:w="1265" w:type="dxa"/>
          </w:tcPr>
          <w:p w:rsidR="00C0088B" w:rsidRDefault="00C0088B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C0088B" w:rsidRDefault="00C0088B" w:rsidP="0041499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Day to day cover for literacy, numeracy and examination courses</w:t>
            </w:r>
          </w:p>
          <w:p w:rsidR="00C0088B" w:rsidRDefault="00C116AA" w:rsidP="00C0088B">
            <w:pPr>
              <w:pStyle w:val="ListParagrap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Allocation is £0 at present. </w:t>
            </w:r>
          </w:p>
        </w:tc>
        <w:tc>
          <w:tcPr>
            <w:tcW w:w="1985" w:type="dxa"/>
          </w:tcPr>
          <w:p w:rsidR="00C0088B" w:rsidRDefault="00C0088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Approx. </w:t>
            </w:r>
            <w:r w:rsidRPr="00C0088B">
              <w:rPr>
                <w:b/>
                <w:color w:val="FF0000"/>
                <w:sz w:val="24"/>
                <w:szCs w:val="24"/>
              </w:rPr>
              <w:t>£20 000</w:t>
            </w:r>
          </w:p>
          <w:p w:rsidR="0075392D" w:rsidRDefault="0075392D">
            <w:pPr>
              <w:rPr>
                <w:b/>
                <w:color w:val="FF0000"/>
                <w:sz w:val="24"/>
                <w:szCs w:val="24"/>
              </w:rPr>
            </w:pPr>
          </w:p>
          <w:p w:rsidR="0075392D" w:rsidRPr="00C0088B" w:rsidRDefault="0075392D" w:rsidP="0075392D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C0088B" w:rsidRDefault="00C0088B">
            <w:pPr>
              <w:rPr>
                <w:sz w:val="28"/>
                <w:szCs w:val="28"/>
              </w:rPr>
            </w:pPr>
          </w:p>
        </w:tc>
      </w:tr>
      <w:tr w:rsidR="000A5A52">
        <w:trPr>
          <w:trHeight w:val="1241"/>
        </w:trPr>
        <w:tc>
          <w:tcPr>
            <w:tcW w:w="1265" w:type="dxa"/>
          </w:tcPr>
          <w:p w:rsidR="000A5A52" w:rsidRDefault="000A5A52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0A5A52" w:rsidRPr="0021181E" w:rsidRDefault="000A5A52" w:rsidP="00414995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8"/>
                <w:szCs w:val="28"/>
              </w:rPr>
            </w:pPr>
            <w:r w:rsidRPr="0021181E">
              <w:rPr>
                <w:rFonts w:cs="Arial"/>
                <w:sz w:val="28"/>
                <w:szCs w:val="28"/>
              </w:rPr>
              <w:t>Taxi for sixth form to and from other providers during the school day. Initial allocation £0.</w:t>
            </w:r>
          </w:p>
        </w:tc>
        <w:tc>
          <w:tcPr>
            <w:tcW w:w="1985" w:type="dxa"/>
          </w:tcPr>
          <w:p w:rsidR="000A5A52" w:rsidRDefault="00F26BBE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Not sure if this will happen.</w:t>
            </w:r>
            <w:r w:rsidR="000A5A52">
              <w:rPr>
                <w:b/>
                <w:color w:val="FF0000"/>
                <w:sz w:val="24"/>
                <w:szCs w:val="24"/>
              </w:rPr>
              <w:t xml:space="preserve"> April to April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A5A52" w:rsidRDefault="000A5A52">
            <w:pPr>
              <w:rPr>
                <w:sz w:val="28"/>
                <w:szCs w:val="28"/>
              </w:rPr>
            </w:pPr>
          </w:p>
        </w:tc>
      </w:tr>
      <w:tr w:rsidR="00603C1C">
        <w:trPr>
          <w:trHeight w:val="1241"/>
        </w:trPr>
        <w:tc>
          <w:tcPr>
            <w:tcW w:w="1265" w:type="dxa"/>
          </w:tcPr>
          <w:p w:rsidR="00603C1C" w:rsidRDefault="00603C1C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603C1C" w:rsidRDefault="00603C1C" w:rsidP="00603C1C">
            <w:pPr>
              <w:pStyle w:val="ListParagraph"/>
              <w:rPr>
                <w:rFonts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603C1C" w:rsidRPr="00603C1C" w:rsidRDefault="00603C1C">
            <w:pPr>
              <w:rPr>
                <w:b/>
                <w:sz w:val="24"/>
                <w:szCs w:val="24"/>
              </w:rPr>
            </w:pPr>
            <w:r w:rsidRPr="00603C1C">
              <w:rPr>
                <w:b/>
                <w:sz w:val="24"/>
                <w:szCs w:val="24"/>
              </w:rPr>
              <w:t>Allocated</w:t>
            </w:r>
          </w:p>
          <w:p w:rsidR="00603C1C" w:rsidRPr="00603C1C" w:rsidRDefault="00603C1C">
            <w:pPr>
              <w:rPr>
                <w:b/>
                <w:sz w:val="24"/>
                <w:szCs w:val="24"/>
              </w:rPr>
            </w:pPr>
            <w:r w:rsidRPr="00603C1C">
              <w:rPr>
                <w:b/>
                <w:sz w:val="24"/>
                <w:szCs w:val="24"/>
              </w:rPr>
              <w:t xml:space="preserve"> </w:t>
            </w:r>
            <w:r w:rsidR="0021181E">
              <w:rPr>
                <w:b/>
                <w:sz w:val="24"/>
                <w:szCs w:val="24"/>
              </w:rPr>
              <w:t>£103 794</w:t>
            </w:r>
          </w:p>
          <w:p w:rsidR="00603C1C" w:rsidRPr="0021181E" w:rsidRDefault="0021181E">
            <w:pPr>
              <w:rPr>
                <w:b/>
                <w:color w:val="00B050"/>
                <w:sz w:val="24"/>
                <w:szCs w:val="24"/>
              </w:rPr>
            </w:pPr>
            <w:r w:rsidRPr="0021181E">
              <w:rPr>
                <w:b/>
                <w:color w:val="00B050"/>
                <w:sz w:val="24"/>
                <w:szCs w:val="24"/>
              </w:rPr>
              <w:t>Underspend at moment but will be used for some of the above</w:t>
            </w:r>
          </w:p>
          <w:p w:rsidR="0021181E" w:rsidRDefault="0021181E">
            <w:pPr>
              <w:rPr>
                <w:b/>
                <w:color w:val="FF0000"/>
                <w:sz w:val="24"/>
                <w:szCs w:val="24"/>
              </w:rPr>
            </w:pPr>
            <w:r w:rsidRPr="0021181E">
              <w:rPr>
                <w:b/>
                <w:color w:val="00B050"/>
                <w:sz w:val="24"/>
                <w:szCs w:val="24"/>
              </w:rPr>
              <w:t>£4 256</w:t>
            </w:r>
          </w:p>
          <w:p w:rsidR="00603C1C" w:rsidRDefault="00603C1C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603C1C" w:rsidRDefault="00603C1C">
            <w:pPr>
              <w:rPr>
                <w:sz w:val="28"/>
                <w:szCs w:val="28"/>
              </w:rPr>
            </w:pPr>
          </w:p>
        </w:tc>
      </w:tr>
      <w:tr w:rsidR="00BC7314">
        <w:trPr>
          <w:trHeight w:val="558"/>
        </w:trPr>
        <w:tc>
          <w:tcPr>
            <w:tcW w:w="1265" w:type="dxa"/>
          </w:tcPr>
          <w:p w:rsidR="00651E93" w:rsidRDefault="00651E93">
            <w:pPr>
              <w:rPr>
                <w:sz w:val="28"/>
                <w:szCs w:val="28"/>
              </w:rPr>
            </w:pPr>
          </w:p>
          <w:p w:rsidR="00651E93" w:rsidRDefault="00651E93">
            <w:pPr>
              <w:rPr>
                <w:sz w:val="28"/>
                <w:szCs w:val="28"/>
              </w:rPr>
            </w:pPr>
          </w:p>
          <w:p w:rsidR="00651E93" w:rsidRDefault="00651E93">
            <w:pPr>
              <w:rPr>
                <w:sz w:val="28"/>
                <w:szCs w:val="28"/>
              </w:rPr>
            </w:pPr>
          </w:p>
          <w:p w:rsidR="00BC7314" w:rsidRDefault="00BC7314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BC7314">
            <w:pPr>
              <w:pStyle w:val="ListParagraph"/>
              <w:rPr>
                <w:rFonts w:cs="Arial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7314" w:rsidRDefault="00E113E7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EIG</w:t>
            </w:r>
          </w:p>
        </w:tc>
        <w:tc>
          <w:tcPr>
            <w:tcW w:w="1984" w:type="dxa"/>
          </w:tcPr>
          <w:p w:rsidR="00BC7314" w:rsidRDefault="00E11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PDG</w:t>
            </w:r>
          </w:p>
        </w:tc>
      </w:tr>
      <w:tr w:rsidR="00BC7314">
        <w:tc>
          <w:tcPr>
            <w:tcW w:w="1265" w:type="dxa"/>
          </w:tcPr>
          <w:p w:rsidR="00BC7314" w:rsidRDefault="00BC73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E113E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Learner support via withdrawal and/or curricular reduction with a specific focus on individual eFSM pupils and on work with small groups or small classes where </w:t>
            </w:r>
            <w:proofErr w:type="spellStart"/>
            <w:r>
              <w:rPr>
                <w:rFonts w:cs="Arial"/>
                <w:sz w:val="24"/>
                <w:szCs w:val="24"/>
              </w:rPr>
              <w:t>eFSM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pupils </w:t>
            </w:r>
            <w:r w:rsidR="001F2F13">
              <w:rPr>
                <w:rFonts w:cs="Arial"/>
                <w:sz w:val="24"/>
                <w:szCs w:val="24"/>
              </w:rPr>
              <w:t>will</w:t>
            </w:r>
            <w:r>
              <w:rPr>
                <w:rFonts w:cs="Arial"/>
                <w:sz w:val="24"/>
                <w:szCs w:val="24"/>
              </w:rPr>
              <w:t xml:space="preserve"> benefit more. Aim is to have a positive impact on the attainment of our eFSM pupils. Specific focus on literacy, English, numeracy and mathematics. </w:t>
            </w:r>
          </w:p>
          <w:p w:rsidR="00BC7314" w:rsidRDefault="00F26BBE" w:rsidP="00533067">
            <w:pPr>
              <w:ind w:left="7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X 2 teachers</w:t>
            </w:r>
            <w:r w:rsidR="00E113E7">
              <w:rPr>
                <w:rFonts w:cs="Arial"/>
                <w:sz w:val="24"/>
                <w:szCs w:val="24"/>
              </w:rPr>
              <w:t xml:space="preserve"> April 1</w:t>
            </w:r>
            <w:r w:rsidR="00E113E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533067">
              <w:rPr>
                <w:rFonts w:cs="Arial"/>
                <w:sz w:val="24"/>
                <w:szCs w:val="24"/>
              </w:rPr>
              <w:t xml:space="preserve"> 2020</w:t>
            </w:r>
            <w:r w:rsidR="00E113E7">
              <w:rPr>
                <w:rFonts w:cs="Arial"/>
                <w:sz w:val="24"/>
                <w:szCs w:val="24"/>
              </w:rPr>
              <w:t xml:space="preserve"> – March 31</w:t>
            </w:r>
            <w:r w:rsidR="00E113E7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533067">
              <w:rPr>
                <w:rFonts w:cs="Arial"/>
                <w:sz w:val="24"/>
                <w:szCs w:val="24"/>
              </w:rPr>
              <w:t xml:space="preserve"> 2021</w:t>
            </w:r>
            <w:r w:rsidR="001F2F13">
              <w:rPr>
                <w:rFonts w:cs="Arial"/>
                <w:sz w:val="24"/>
                <w:szCs w:val="24"/>
              </w:rPr>
              <w:t>(Gross, Super and NI)</w:t>
            </w:r>
          </w:p>
          <w:p w:rsidR="00117944" w:rsidRPr="00117944" w:rsidRDefault="00117944" w:rsidP="001F2F1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7314" w:rsidRDefault="00BC7314">
            <w:pPr>
              <w:spacing w:line="276" w:lineRule="auto"/>
              <w:jc w:val="center"/>
              <w:rPr>
                <w:sz w:val="24"/>
                <w:szCs w:val="24"/>
                <w:highlight w:val="lightGray"/>
              </w:rPr>
            </w:pPr>
          </w:p>
          <w:p w:rsidR="00BC7314" w:rsidRDefault="00BC7314">
            <w:pPr>
              <w:spacing w:line="276" w:lineRule="auto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117944" w:rsidRDefault="00533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£103 035</w:t>
            </w:r>
          </w:p>
        </w:tc>
      </w:tr>
      <w:tr w:rsidR="00BC7314">
        <w:tc>
          <w:tcPr>
            <w:tcW w:w="1265" w:type="dxa"/>
          </w:tcPr>
          <w:p w:rsidR="00BC7314" w:rsidRDefault="00BC731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E113E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Learner support via withdrawal and/or curricular reduction with a specific focus on individual eFSM pupils and on work with small groups of pupils where eFSM pupils will gain substantial benefit.</w:t>
            </w:r>
            <w:r w:rsidR="00945B8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The aim of this action is to have a positive impact on behaviour or </w:t>
            </w:r>
            <w:r>
              <w:rPr>
                <w:rFonts w:cs="Arial"/>
                <w:sz w:val="24"/>
                <w:szCs w:val="24"/>
              </w:rPr>
              <w:lastRenderedPageBreak/>
              <w:t>attendance or wellbeing or family engagement and may involve extra curricular or aspiration raising activities and in some case</w:t>
            </w:r>
            <w:r w:rsidR="001F2F13">
              <w:rPr>
                <w:rFonts w:cs="Arial"/>
                <w:sz w:val="24"/>
                <w:szCs w:val="24"/>
              </w:rPr>
              <w:t>s</w:t>
            </w:r>
            <w:r>
              <w:rPr>
                <w:rFonts w:cs="Arial"/>
                <w:sz w:val="24"/>
                <w:szCs w:val="24"/>
              </w:rPr>
              <w:t xml:space="preserve"> will lead to the prevention of learners becoming NEETs. This will lead to improved attainment.</w:t>
            </w:r>
          </w:p>
          <w:p w:rsidR="00945B81" w:rsidRDefault="00CE5485" w:rsidP="00945B81">
            <w:pPr>
              <w:pStyle w:val="ListParagraph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Support Officer</w:t>
            </w:r>
            <w:r w:rsidR="00945B81">
              <w:rPr>
                <w:sz w:val="24"/>
                <w:szCs w:val="24"/>
              </w:rPr>
              <w:t xml:space="preserve"> &amp; Assistant Pastoral Support Officer</w:t>
            </w:r>
          </w:p>
          <w:p w:rsidR="00945B81" w:rsidRPr="00945B81" w:rsidRDefault="00945B81" w:rsidP="001F2F1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7314" w:rsidRDefault="00BC7314">
            <w:pPr>
              <w:spacing w:line="276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945B81" w:rsidRDefault="0053306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£54 190</w:t>
            </w:r>
          </w:p>
        </w:tc>
      </w:tr>
      <w:tr w:rsidR="00BC7314">
        <w:tc>
          <w:tcPr>
            <w:tcW w:w="1265" w:type="dxa"/>
          </w:tcPr>
          <w:p w:rsidR="00BC7314" w:rsidRDefault="00BC73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E113E7" w:rsidP="001F2F1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Equipment packs to include a scientific calculator. Files and writing equipment. This strategy is targeted at eFSM pupils </w:t>
            </w:r>
            <w:r>
              <w:rPr>
                <w:sz w:val="24"/>
                <w:szCs w:val="24"/>
                <w:u w:val="single"/>
              </w:rPr>
              <w:t>only</w:t>
            </w:r>
            <w:r>
              <w:rPr>
                <w:sz w:val="24"/>
                <w:szCs w:val="24"/>
              </w:rPr>
              <w:t xml:space="preserve"> and the aim is to improve the attainment of eFSM pupils. </w:t>
            </w:r>
            <w:r w:rsidR="001F2F13">
              <w:rPr>
                <w:sz w:val="24"/>
                <w:szCs w:val="24"/>
              </w:rPr>
              <w:t xml:space="preserve">It is unlikely that we will be able to do this.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C7314" w:rsidRDefault="00BC7314">
            <w:pPr>
              <w:spacing w:line="276" w:lineRule="auto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BC7314" w:rsidRPr="00EE6BE4" w:rsidRDefault="00CE5485">
            <w:pPr>
              <w:spacing w:line="276" w:lineRule="auto"/>
              <w:rPr>
                <w:b/>
                <w:i/>
                <w:color w:val="FF0000"/>
                <w:sz w:val="24"/>
                <w:szCs w:val="24"/>
              </w:rPr>
            </w:pPr>
            <w:r w:rsidRPr="00EE6BE4">
              <w:rPr>
                <w:b/>
                <w:i/>
                <w:color w:val="FF0000"/>
                <w:sz w:val="24"/>
                <w:szCs w:val="24"/>
              </w:rPr>
              <w:t>Initial allocation</w:t>
            </w:r>
          </w:p>
          <w:p w:rsidR="00EE6BE4" w:rsidRPr="00EE6BE4" w:rsidRDefault="00CE5485" w:rsidP="00EE6BE4">
            <w:pPr>
              <w:rPr>
                <w:b/>
                <w:color w:val="FF0000"/>
                <w:sz w:val="24"/>
                <w:szCs w:val="24"/>
              </w:rPr>
            </w:pPr>
            <w:r w:rsidRPr="00EE6BE4">
              <w:rPr>
                <w:b/>
                <w:i/>
                <w:color w:val="FF0000"/>
                <w:sz w:val="24"/>
                <w:szCs w:val="24"/>
              </w:rPr>
              <w:t>£</w:t>
            </w:r>
            <w:r w:rsidR="00EE6BE4" w:rsidRPr="00EE6BE4">
              <w:rPr>
                <w:b/>
                <w:i/>
                <w:color w:val="FF0000"/>
                <w:sz w:val="24"/>
                <w:szCs w:val="24"/>
              </w:rPr>
              <w:t>0</w:t>
            </w:r>
          </w:p>
          <w:p w:rsidR="00C72BE0" w:rsidRPr="001B076F" w:rsidRDefault="001F2F13" w:rsidP="001F2F1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E5485">
        <w:tc>
          <w:tcPr>
            <w:tcW w:w="1265" w:type="dxa"/>
          </w:tcPr>
          <w:p w:rsidR="00CE5485" w:rsidRDefault="00CE54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CE5485" w:rsidRDefault="00CE548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Initially £0 allocated to transport. This has an impact on the provision of support for </w:t>
            </w:r>
            <w:proofErr w:type="spellStart"/>
            <w:r>
              <w:rPr>
                <w:sz w:val="24"/>
                <w:szCs w:val="24"/>
              </w:rPr>
              <w:t>eFSM</w:t>
            </w:r>
            <w:proofErr w:type="spellEnd"/>
            <w:r>
              <w:rPr>
                <w:sz w:val="24"/>
                <w:szCs w:val="24"/>
              </w:rPr>
              <w:t xml:space="preserve"> pupils out of catchment and also on our provision of a homework bus (discussions to take place as to whether we can find money for this from the general school budget). </w:t>
            </w:r>
            <w:r w:rsidR="001F2F13">
              <w:rPr>
                <w:sz w:val="24"/>
                <w:szCs w:val="24"/>
              </w:rPr>
              <w:t xml:space="preserve">At present we are unable to offer a bus home for homework club but we are still looking for an alternative funding source. </w:t>
            </w:r>
          </w:p>
          <w:p w:rsidR="00B47A83" w:rsidRDefault="00B47A83" w:rsidP="00B47A8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CE5485" w:rsidRDefault="00CE5485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CE5485" w:rsidRPr="001B076F" w:rsidRDefault="00CE5485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>Initial allocation £0</w:t>
            </w:r>
          </w:p>
          <w:p w:rsidR="00CE5485" w:rsidRDefault="001F2F13" w:rsidP="00CE5485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Expected spend = £ 4 000</w:t>
            </w:r>
          </w:p>
          <w:p w:rsidR="00C72BE0" w:rsidRPr="00CE5485" w:rsidRDefault="00C72BE0" w:rsidP="00CE5485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(Looking for alternative funding source)</w:t>
            </w:r>
          </w:p>
        </w:tc>
      </w:tr>
      <w:tr w:rsidR="00B47A83">
        <w:tc>
          <w:tcPr>
            <w:tcW w:w="1265" w:type="dxa"/>
          </w:tcPr>
          <w:p w:rsidR="00B47A83" w:rsidRDefault="00B47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B47A83" w:rsidRDefault="00B47A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 to day cover for course</w:t>
            </w:r>
            <w:r w:rsidR="001F2F1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relate</w:t>
            </w:r>
            <w:r w:rsidR="001F2F13">
              <w:rPr>
                <w:sz w:val="24"/>
                <w:szCs w:val="24"/>
              </w:rPr>
              <w:t xml:space="preserve">d to </w:t>
            </w:r>
            <w:proofErr w:type="spellStart"/>
            <w:r w:rsidR="001F2F13">
              <w:rPr>
                <w:sz w:val="24"/>
                <w:szCs w:val="24"/>
              </w:rPr>
              <w:t>eFSM</w:t>
            </w:r>
            <w:proofErr w:type="spellEnd"/>
            <w:r w:rsidR="001F2F13">
              <w:rPr>
                <w:sz w:val="24"/>
                <w:szCs w:val="24"/>
              </w:rPr>
              <w:t xml:space="preserve"> pupils. Money may be found from general school budget.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A83" w:rsidRDefault="00B47A83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B47A83" w:rsidRPr="001B076F" w:rsidRDefault="00B47A83" w:rsidP="00B47A83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>Initial allocation £0</w:t>
            </w:r>
          </w:p>
          <w:p w:rsidR="00B47A83" w:rsidRDefault="00C72BE0" w:rsidP="00B47A83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Approx</w:t>
            </w:r>
            <w:proofErr w:type="spellEnd"/>
            <w:r w:rsidR="00B47A83" w:rsidRPr="001B076F">
              <w:rPr>
                <w:b/>
                <w:color w:val="FF0000"/>
                <w:sz w:val="24"/>
                <w:szCs w:val="24"/>
              </w:rPr>
              <w:t xml:space="preserve"> spend = </w:t>
            </w:r>
            <w:r w:rsidR="00B47A83">
              <w:rPr>
                <w:b/>
                <w:color w:val="FF0000"/>
                <w:sz w:val="24"/>
                <w:szCs w:val="24"/>
              </w:rPr>
              <w:t>£3 000</w:t>
            </w:r>
          </w:p>
          <w:p w:rsidR="00C72BE0" w:rsidRPr="001B076F" w:rsidRDefault="00C72BE0" w:rsidP="00B47A8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C52FF">
        <w:tc>
          <w:tcPr>
            <w:tcW w:w="1265" w:type="dxa"/>
          </w:tcPr>
          <w:p w:rsidR="006C52FF" w:rsidRDefault="006C52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6C52FF" w:rsidRDefault="001F2F1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Courses for </w:t>
            </w:r>
            <w:proofErr w:type="spellStart"/>
            <w:r>
              <w:rPr>
                <w:sz w:val="24"/>
                <w:szCs w:val="24"/>
              </w:rPr>
              <w:t>eFSM</w:t>
            </w:r>
            <w:proofErr w:type="spellEnd"/>
            <w:r w:rsidR="006C52FF">
              <w:rPr>
                <w:sz w:val="24"/>
                <w:szCs w:val="24"/>
              </w:rPr>
              <w:t xml:space="preserve"> e.g. THRIVE course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C52FF" w:rsidRDefault="006C52FF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6C52FF" w:rsidRPr="001B076F" w:rsidRDefault="006C52FF" w:rsidP="006C52FF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>Initial allocation £0</w:t>
            </w:r>
          </w:p>
          <w:p w:rsidR="006C52FF" w:rsidRDefault="006C52FF" w:rsidP="006C52FF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 xml:space="preserve">Expected spend = </w:t>
            </w:r>
          </w:p>
          <w:p w:rsidR="006C52FF" w:rsidRPr="001B076F" w:rsidRDefault="006C52FF" w:rsidP="006C52F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£4 500</w:t>
            </w:r>
          </w:p>
        </w:tc>
      </w:tr>
      <w:tr w:rsidR="00B47A83">
        <w:tc>
          <w:tcPr>
            <w:tcW w:w="1265" w:type="dxa"/>
          </w:tcPr>
          <w:p w:rsidR="00B47A83" w:rsidRDefault="00B47A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58" w:type="dxa"/>
          </w:tcPr>
          <w:p w:rsidR="00B47A83" w:rsidRDefault="00B47A83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Clothing e.g. tights, skirts and trousers. A small selection of uniform for </w:t>
            </w:r>
            <w:proofErr w:type="spellStart"/>
            <w:r>
              <w:rPr>
                <w:sz w:val="24"/>
                <w:szCs w:val="24"/>
              </w:rPr>
              <w:t>eFSM</w:t>
            </w:r>
            <w:proofErr w:type="spellEnd"/>
            <w:r>
              <w:rPr>
                <w:sz w:val="24"/>
                <w:szCs w:val="24"/>
              </w:rPr>
              <w:t xml:space="preserve"> pupils when they grow out, lose or break the uniform they had with the grant at the start of the school year. </w:t>
            </w:r>
            <w:r w:rsidR="001F2F13">
              <w:rPr>
                <w:sz w:val="24"/>
                <w:szCs w:val="24"/>
              </w:rPr>
              <w:t xml:space="preserve">Last year we were able to purchase uniform at the end of the financial year.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47A83" w:rsidRDefault="00B47A83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</w:tcPr>
          <w:p w:rsidR="00B47A83" w:rsidRPr="001B076F" w:rsidRDefault="00B47A83" w:rsidP="00B47A83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>Initial allocation £0</w:t>
            </w:r>
          </w:p>
          <w:p w:rsidR="00B47A83" w:rsidRDefault="00B47A83" w:rsidP="009E5432">
            <w:pPr>
              <w:rPr>
                <w:b/>
                <w:color w:val="FF0000"/>
                <w:sz w:val="24"/>
                <w:szCs w:val="24"/>
              </w:rPr>
            </w:pPr>
            <w:r w:rsidRPr="001B076F">
              <w:rPr>
                <w:b/>
                <w:color w:val="FF0000"/>
                <w:sz w:val="24"/>
                <w:szCs w:val="24"/>
              </w:rPr>
              <w:t xml:space="preserve">Expected spend = </w:t>
            </w:r>
          </w:p>
          <w:p w:rsidR="009E5432" w:rsidRDefault="009E5432" w:rsidP="009E5432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£500</w:t>
            </w:r>
          </w:p>
          <w:p w:rsidR="00C72BE0" w:rsidRPr="001B076F" w:rsidRDefault="00C72BE0" w:rsidP="001F2F13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C7314" w:rsidTr="00F26BBE">
        <w:trPr>
          <w:trHeight w:val="1355"/>
        </w:trPr>
        <w:tc>
          <w:tcPr>
            <w:tcW w:w="1265" w:type="dxa"/>
          </w:tcPr>
          <w:p w:rsidR="00BC7314" w:rsidRDefault="00BC7314">
            <w:pPr>
              <w:rPr>
                <w:sz w:val="28"/>
                <w:szCs w:val="28"/>
              </w:rPr>
            </w:pPr>
          </w:p>
        </w:tc>
        <w:tc>
          <w:tcPr>
            <w:tcW w:w="9758" w:type="dxa"/>
          </w:tcPr>
          <w:p w:rsidR="00BC7314" w:rsidRDefault="00E113E7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Total Spend (Whole allowance)</w:t>
            </w:r>
          </w:p>
          <w:p w:rsidR="001554C3" w:rsidRDefault="001554C3">
            <w:pPr>
              <w:rPr>
                <w:rFonts w:cs="Arial"/>
                <w:sz w:val="28"/>
                <w:szCs w:val="28"/>
              </w:rPr>
            </w:pPr>
          </w:p>
          <w:p w:rsidR="00631C22" w:rsidRPr="001554C3" w:rsidRDefault="00631C22" w:rsidP="00013E0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C7314" w:rsidRDefault="00BC7314"/>
        </w:tc>
        <w:tc>
          <w:tcPr>
            <w:tcW w:w="1984" w:type="dxa"/>
          </w:tcPr>
          <w:p w:rsidR="001554C3" w:rsidRPr="00F26BBE" w:rsidRDefault="001554C3">
            <w:pPr>
              <w:rPr>
                <w:b/>
                <w:sz w:val="24"/>
                <w:szCs w:val="24"/>
              </w:rPr>
            </w:pPr>
            <w:r w:rsidRPr="00F26BBE">
              <w:rPr>
                <w:b/>
                <w:sz w:val="24"/>
                <w:szCs w:val="24"/>
              </w:rPr>
              <w:t xml:space="preserve">Allocated </w:t>
            </w:r>
          </w:p>
          <w:p w:rsidR="00BC7314" w:rsidRPr="00F26BBE" w:rsidRDefault="00F26BBE">
            <w:pPr>
              <w:rPr>
                <w:b/>
                <w:sz w:val="24"/>
                <w:szCs w:val="24"/>
              </w:rPr>
            </w:pPr>
            <w:r w:rsidRPr="00F26BBE">
              <w:rPr>
                <w:b/>
                <w:sz w:val="24"/>
                <w:szCs w:val="24"/>
              </w:rPr>
              <w:t>£</w:t>
            </w:r>
            <w:r w:rsidR="00533067" w:rsidRPr="00F26BBE">
              <w:rPr>
                <w:b/>
                <w:sz w:val="24"/>
                <w:szCs w:val="24"/>
              </w:rPr>
              <w:t>157 225</w:t>
            </w:r>
          </w:p>
          <w:p w:rsidR="001554C3" w:rsidRPr="001554C3" w:rsidRDefault="00533067" w:rsidP="00F26BBE">
            <w:pPr>
              <w:rPr>
                <w:b/>
                <w:color w:val="FF0000"/>
                <w:sz w:val="28"/>
                <w:szCs w:val="28"/>
              </w:rPr>
            </w:pPr>
            <w:r w:rsidRPr="00F26BBE">
              <w:rPr>
                <w:b/>
                <w:color w:val="FF0000"/>
                <w:sz w:val="24"/>
                <w:szCs w:val="24"/>
              </w:rPr>
              <w:t>Over spend of £65 225</w:t>
            </w:r>
            <w:bookmarkStart w:id="0" w:name="_GoBack"/>
            <w:bookmarkEnd w:id="0"/>
          </w:p>
        </w:tc>
      </w:tr>
    </w:tbl>
    <w:p w:rsidR="00BC7314" w:rsidRDefault="00BC7314" w:rsidP="00F26BBE">
      <w:pPr>
        <w:rPr>
          <w:sz w:val="28"/>
          <w:szCs w:val="28"/>
        </w:rPr>
      </w:pPr>
    </w:p>
    <w:sectPr w:rsidR="00BC7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F51"/>
    <w:multiLevelType w:val="hybridMultilevel"/>
    <w:tmpl w:val="1282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210"/>
    <w:multiLevelType w:val="hybridMultilevel"/>
    <w:tmpl w:val="8F0093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B6BEC"/>
    <w:multiLevelType w:val="hybridMultilevel"/>
    <w:tmpl w:val="3356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84AF2"/>
    <w:multiLevelType w:val="hybridMultilevel"/>
    <w:tmpl w:val="F48A09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B3819"/>
    <w:multiLevelType w:val="hybridMultilevel"/>
    <w:tmpl w:val="8C981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7BD9"/>
    <w:multiLevelType w:val="hybridMultilevel"/>
    <w:tmpl w:val="8A5C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D0E"/>
    <w:multiLevelType w:val="hybridMultilevel"/>
    <w:tmpl w:val="8D98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6F93"/>
    <w:multiLevelType w:val="hybridMultilevel"/>
    <w:tmpl w:val="558E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4080A"/>
    <w:multiLevelType w:val="hybridMultilevel"/>
    <w:tmpl w:val="4848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B500F"/>
    <w:multiLevelType w:val="hybridMultilevel"/>
    <w:tmpl w:val="402C478C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14"/>
    <w:rsid w:val="00013E02"/>
    <w:rsid w:val="000A5A52"/>
    <w:rsid w:val="000B6C63"/>
    <w:rsid w:val="00117944"/>
    <w:rsid w:val="001554C3"/>
    <w:rsid w:val="001B076F"/>
    <w:rsid w:val="001F2F13"/>
    <w:rsid w:val="0021181E"/>
    <w:rsid w:val="00296CF5"/>
    <w:rsid w:val="002E6EAE"/>
    <w:rsid w:val="00312761"/>
    <w:rsid w:val="00400D62"/>
    <w:rsid w:val="00414995"/>
    <w:rsid w:val="004C33D3"/>
    <w:rsid w:val="00533067"/>
    <w:rsid w:val="00603C1C"/>
    <w:rsid w:val="00631C22"/>
    <w:rsid w:val="00651E93"/>
    <w:rsid w:val="006C52FF"/>
    <w:rsid w:val="0075392D"/>
    <w:rsid w:val="00831C44"/>
    <w:rsid w:val="00885608"/>
    <w:rsid w:val="009219CE"/>
    <w:rsid w:val="00945B81"/>
    <w:rsid w:val="009E5432"/>
    <w:rsid w:val="00B47A83"/>
    <w:rsid w:val="00BC7314"/>
    <w:rsid w:val="00C0088B"/>
    <w:rsid w:val="00C116AA"/>
    <w:rsid w:val="00C72BE0"/>
    <w:rsid w:val="00CE5485"/>
    <w:rsid w:val="00CF046F"/>
    <w:rsid w:val="00D35D24"/>
    <w:rsid w:val="00D55FED"/>
    <w:rsid w:val="00DF216C"/>
    <w:rsid w:val="00E113E7"/>
    <w:rsid w:val="00EE6BE4"/>
    <w:rsid w:val="00EF28D2"/>
    <w:rsid w:val="00F26BBE"/>
    <w:rsid w:val="00F549ED"/>
    <w:rsid w:val="00F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AEC20"/>
  <w15:docId w15:val="{CC07DB73-3736-4135-A8F4-D7A03902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Hunt</dc:creator>
  <cp:lastModifiedBy>Vicky Hunt</cp:lastModifiedBy>
  <cp:revision>2</cp:revision>
  <cp:lastPrinted>2015-06-26T08:59:00Z</cp:lastPrinted>
  <dcterms:created xsi:type="dcterms:W3CDTF">2020-07-05T17:51:00Z</dcterms:created>
  <dcterms:modified xsi:type="dcterms:W3CDTF">2020-07-05T17:51:00Z</dcterms:modified>
</cp:coreProperties>
</file>